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916843">
      <w:pPr>
        <w:keepNext w:val="0"/>
        <w:keepLines w:val="0"/>
        <w:pageBreakBefore w:val="0"/>
        <w:widowControl w:val="0"/>
        <w:kinsoku/>
        <w:wordWrap/>
        <w:overflowPunct/>
        <w:topLinePunct w:val="0"/>
        <w:autoSpaceDE/>
        <w:autoSpaceDN/>
        <w:bidi w:val="0"/>
        <w:adjustRightInd w:val="0"/>
        <w:snapToGrid w:val="0"/>
        <w:spacing w:line="576" w:lineRule="exact"/>
        <w:ind w:left="0" w:leftChars="0" w:firstLine="0" w:firstLineChars="0"/>
        <w:jc w:val="center"/>
        <w:textAlignment w:val="auto"/>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eastAsia="zh-CN"/>
        </w:rPr>
        <w:t>关于</w:t>
      </w:r>
      <w:r>
        <w:rPr>
          <w:rFonts w:hint="eastAsia" w:ascii="方正小标宋简体" w:hAnsi="方正小标宋简体" w:eastAsia="方正小标宋简体" w:cs="方正小标宋简体"/>
          <w:b w:val="0"/>
          <w:bCs w:val="0"/>
          <w:color w:val="000000"/>
          <w:sz w:val="44"/>
          <w:szCs w:val="44"/>
          <w:lang w:eastAsia="zh-CN"/>
        </w:rPr>
        <w:t>调整高排放</w:t>
      </w:r>
      <w:r>
        <w:rPr>
          <w:rFonts w:hint="eastAsia" w:ascii="方正小标宋简体" w:hAnsi="方正小标宋简体" w:eastAsia="方正小标宋简体" w:cs="方正小标宋简体"/>
          <w:b w:val="0"/>
          <w:bCs w:val="0"/>
          <w:sz w:val="44"/>
          <w:szCs w:val="44"/>
        </w:rPr>
        <w:t>非道路移动机械</w:t>
      </w:r>
      <w:r>
        <w:rPr>
          <w:rFonts w:hint="eastAsia" w:ascii="方正小标宋简体" w:hAnsi="方正小标宋简体" w:eastAsia="方正小标宋简体" w:cs="方正小标宋简体"/>
          <w:b w:val="0"/>
          <w:bCs w:val="0"/>
          <w:sz w:val="44"/>
          <w:szCs w:val="44"/>
          <w:lang w:eastAsia="zh-CN"/>
        </w:rPr>
        <w:t>禁用区的</w:t>
      </w:r>
    </w:p>
    <w:p w14:paraId="3AEA0C6F">
      <w:pPr>
        <w:keepNext w:val="0"/>
        <w:keepLines w:val="0"/>
        <w:pageBreakBefore w:val="0"/>
        <w:widowControl w:val="0"/>
        <w:kinsoku/>
        <w:wordWrap/>
        <w:overflowPunct/>
        <w:topLinePunct w:val="0"/>
        <w:autoSpaceDE/>
        <w:autoSpaceDN/>
        <w:bidi w:val="0"/>
        <w:adjustRightInd w:val="0"/>
        <w:snapToGrid w:val="0"/>
        <w:spacing w:line="576" w:lineRule="exact"/>
        <w:ind w:left="0" w:leftChars="0" w:firstLine="0" w:firstLineChars="0"/>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通</w:t>
      </w:r>
      <w:r>
        <w:rPr>
          <w:rFonts w:hint="eastAsia" w:ascii="方正小标宋简体" w:hAnsi="方正小标宋简体" w:eastAsia="方正小标宋简体" w:cs="方正小标宋简体"/>
          <w:b w:val="0"/>
          <w:bCs w:val="0"/>
          <w:sz w:val="44"/>
          <w:szCs w:val="44"/>
          <w:lang w:val="en-US" w:eastAsia="zh-CN"/>
        </w:rPr>
        <w:t xml:space="preserve">  </w:t>
      </w:r>
      <w:r>
        <w:rPr>
          <w:rFonts w:hint="eastAsia" w:ascii="方正小标宋简体" w:hAnsi="方正小标宋简体" w:eastAsia="方正小标宋简体" w:cs="方正小标宋简体"/>
          <w:b w:val="0"/>
          <w:bCs w:val="0"/>
          <w:sz w:val="44"/>
          <w:szCs w:val="44"/>
        </w:rPr>
        <w:t>告</w:t>
      </w:r>
    </w:p>
    <w:p w14:paraId="4BF0ABFD">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0" w:firstLineChars="0"/>
        <w:jc w:val="center"/>
        <w:textAlignment w:val="auto"/>
        <w:rPr>
          <w:rFonts w:hint="eastAsia" w:ascii="楷体_GB2312" w:hAnsi="楷体_GB2312" w:eastAsia="楷体_GB2312" w:cs="楷体_GB2312"/>
          <w:b w:val="0"/>
          <w:bCs w:val="0"/>
          <w:color w:val="000000"/>
          <w:sz w:val="32"/>
          <w:szCs w:val="32"/>
          <w:lang w:val="en-US" w:eastAsia="zh-CN"/>
        </w:rPr>
      </w:pPr>
      <w:r>
        <w:rPr>
          <w:rFonts w:hint="eastAsia" w:ascii="楷体_GB2312" w:hAnsi="楷体_GB2312" w:eastAsia="楷体_GB2312" w:cs="楷体_GB2312"/>
          <w:b w:val="0"/>
          <w:bCs w:val="0"/>
          <w:color w:val="000000"/>
          <w:sz w:val="32"/>
          <w:szCs w:val="32"/>
          <w:lang w:val="en-US" w:eastAsia="zh-CN"/>
        </w:rPr>
        <w:t>（征求意见稿）</w:t>
      </w:r>
    </w:p>
    <w:p w14:paraId="6F34647C">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0" w:firstLineChars="0"/>
        <w:jc w:val="center"/>
        <w:textAlignment w:val="auto"/>
        <w:rPr>
          <w:rFonts w:hint="eastAsia" w:ascii="楷体_GB2312" w:hAnsi="楷体_GB2312" w:eastAsia="楷体_GB2312" w:cs="楷体_GB2312"/>
          <w:b w:val="0"/>
          <w:bCs w:val="0"/>
          <w:color w:val="000000"/>
          <w:sz w:val="32"/>
          <w:szCs w:val="32"/>
          <w:lang w:val="en-US" w:eastAsia="zh-CN"/>
        </w:rPr>
      </w:pPr>
      <w:r>
        <w:rPr>
          <w:rFonts w:hint="eastAsia" w:ascii="楷体_GB2312" w:hAnsi="楷体_GB2312" w:eastAsia="楷体_GB2312" w:cs="楷体_GB2312"/>
          <w:b w:val="0"/>
          <w:bCs w:val="0"/>
          <w:color w:val="000000"/>
          <w:sz w:val="32"/>
          <w:szCs w:val="32"/>
          <w:lang w:val="en-US" w:eastAsia="zh-CN"/>
        </w:rPr>
        <w:t xml:space="preserve">  </w:t>
      </w:r>
    </w:p>
    <w:p w14:paraId="188C953D">
      <w:pPr>
        <w:keepNext w:val="0"/>
        <w:keepLines w:val="0"/>
        <w:pageBreakBefore w:val="0"/>
        <w:widowControl w:val="0"/>
        <w:kinsoku/>
        <w:wordWrap/>
        <w:overflowPunct/>
        <w:topLinePunct w:val="0"/>
        <w:autoSpaceDE/>
        <w:autoSpaceDN/>
        <w:bidi w:val="0"/>
        <w:adjustRightInd w:val="0"/>
        <w:snapToGrid w:val="0"/>
        <w:spacing w:line="576" w:lineRule="exact"/>
        <w:ind w:left="0" w:leftChars="0" w:firstLine="0" w:firstLineChars="0"/>
        <w:jc w:val="left"/>
        <w:textAlignment w:val="auto"/>
        <w:rPr>
          <w:rFonts w:hint="eastAsia" w:ascii="Times New Roman" w:hAnsi="Times New Roman" w:eastAsia="仿宋_GB2312" w:cs="Times New Roman"/>
          <w:color w:val="000000"/>
          <w:sz w:val="32"/>
          <w:szCs w:val="32"/>
          <w:lang w:val="en-US" w:eastAsia="zh-CN"/>
        </w:rPr>
      </w:pPr>
      <w:r>
        <w:rPr>
          <w:rFonts w:hint="eastAsia" w:ascii="楷体_GB2312" w:hAnsi="楷体_GB2312" w:eastAsia="楷体_GB2312" w:cs="楷体_GB2312"/>
          <w:b w:val="0"/>
          <w:bCs w:val="0"/>
          <w:color w:val="000000"/>
          <w:sz w:val="32"/>
          <w:szCs w:val="32"/>
          <w:lang w:val="en-US" w:eastAsia="zh-CN"/>
        </w:rPr>
        <w:t xml:space="preserve">     </w:t>
      </w:r>
      <w:r>
        <w:rPr>
          <w:rFonts w:hint="eastAsia" w:ascii="Times New Roman" w:hAnsi="Times New Roman" w:eastAsia="仿宋_GB2312" w:cs="Times New Roman"/>
          <w:color w:val="000000"/>
          <w:sz w:val="32"/>
          <w:szCs w:val="32"/>
          <w:lang w:val="en-US" w:eastAsia="zh-CN"/>
        </w:rPr>
        <w:t>为有效改善环境空气质量，加强高排放非道路移动机械监管，进一步减少非道路移动机械污染物排放，保障人民群众身体健康，根据《中华人民共和国大气污染防治法》《河南省大气污染防治条例》等有关规定，结合我市实际，决定对我市高排放非道路移动机械禁用区予以调整，现将有关事宜通告如下：</w:t>
      </w:r>
    </w:p>
    <w:p w14:paraId="140972F1">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jc w:val="both"/>
        <w:textAlignment w:val="auto"/>
        <w:rPr>
          <w:rFonts w:hint="eastAsia" w:ascii="Times New Roman" w:hAnsi="Times New Roman" w:eastAsia="黑体" w:cs="Times New Roman"/>
          <w:b w:val="0"/>
          <w:bCs w:val="0"/>
          <w:sz w:val="32"/>
          <w:szCs w:val="32"/>
          <w:lang w:val="en-US" w:eastAsia="zh-CN"/>
        </w:rPr>
      </w:pPr>
      <w:r>
        <w:rPr>
          <w:rFonts w:hint="eastAsia" w:ascii="Times New Roman" w:hAnsi="Times New Roman" w:eastAsia="黑体" w:cs="Times New Roman"/>
          <w:b w:val="0"/>
          <w:bCs w:val="0"/>
          <w:sz w:val="32"/>
          <w:szCs w:val="32"/>
          <w:lang w:val="en-US" w:eastAsia="zh-CN"/>
        </w:rPr>
        <w:t>一、高排放非道路移动机械种类</w:t>
      </w:r>
    </w:p>
    <w:p w14:paraId="7438C134">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本通告所指的非道路移动机械为：装配有发动机的移动机械和可运输工业设备，包括工业钻探设备、工程机械、林业机械、渔业机械、材料装卸机械、叉车、雪犁装备、机场地勘设备、空气压缩机、发电机组、水泵等。</w:t>
      </w:r>
    </w:p>
    <w:p w14:paraId="6AC17F55">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jc w:val="both"/>
        <w:textAlignment w:val="auto"/>
        <w:rPr>
          <w:rFonts w:hint="eastAsia" w:ascii="Times New Roman" w:hAnsi="Times New Roman" w:eastAsia="仿宋_GB2312" w:cs="Times New Roman"/>
          <w:color w:val="000000"/>
          <w:sz w:val="32"/>
          <w:szCs w:val="32"/>
          <w:lang w:val="en-US" w:eastAsia="zh-CN"/>
        </w:rPr>
      </w:pPr>
      <w:r>
        <w:rPr>
          <w:rFonts w:hint="eastAsia" w:ascii="仿宋_GB2312" w:hAnsi="仿宋_GB2312" w:eastAsia="仿宋_GB2312" w:cs="仿宋_GB2312"/>
          <w:color w:val="000000"/>
          <w:sz w:val="32"/>
          <w:szCs w:val="32"/>
          <w:lang w:val="en-US" w:eastAsia="zh-CN"/>
        </w:rPr>
        <w:t>高放非道路移动机械指未按照《中华人民共和国大气污染防治法》第五十九条和《非道路柴油移动机械排气烟度限值及测量法》(GB36886-2018）的规定加装或者更换符合要求的污染控制装置，未达到国家第三阶段排放标准的，以及尾气排放不达标的在用非道路移动机械。</w:t>
      </w:r>
    </w:p>
    <w:p w14:paraId="4A22BD57">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jc w:val="both"/>
        <w:textAlignment w:val="auto"/>
        <w:rPr>
          <w:rFonts w:hint="eastAsia" w:ascii="Times New Roman" w:hAnsi="Times New Roman" w:eastAsia="仿宋_GB2312" w:cs="Times New Roman"/>
          <w:color w:val="000000"/>
          <w:sz w:val="32"/>
          <w:szCs w:val="32"/>
          <w:lang w:val="en-US" w:eastAsia="zh-CN"/>
        </w:rPr>
      </w:pPr>
      <w:r>
        <w:rPr>
          <w:rFonts w:hint="eastAsia" w:ascii="Times New Roman" w:hAnsi="Times New Roman" w:eastAsia="黑体" w:cs="Times New Roman"/>
          <w:b w:val="0"/>
          <w:bCs w:val="0"/>
          <w:sz w:val="32"/>
          <w:szCs w:val="32"/>
          <w:lang w:val="en-US" w:eastAsia="zh-CN"/>
        </w:rPr>
        <w:t>二、高排放非道路移动机械禁用区范围</w:t>
      </w:r>
      <w:r>
        <w:rPr>
          <w:rFonts w:hint="eastAsia" w:ascii="Times New Roman" w:hAnsi="Times New Roman" w:eastAsia="仿宋_GB2312" w:cs="Times New Roman"/>
          <w:color w:val="000000"/>
          <w:sz w:val="32"/>
          <w:szCs w:val="32"/>
          <w:lang w:val="en-US" w:eastAsia="zh-CN"/>
        </w:rPr>
        <w:t xml:space="preserve"> </w:t>
      </w:r>
    </w:p>
    <w:p w14:paraId="07C82CCA">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sz w:val="32"/>
          <w:szCs w:val="32"/>
          <w:lang w:eastAsia="zh-CN"/>
        </w:rPr>
        <w:t>（一）</w:t>
      </w:r>
      <w:r>
        <w:rPr>
          <w:rFonts w:hint="eastAsia" w:ascii="仿宋_GB2312" w:hAnsi="仿宋_GB2312" w:eastAsia="仿宋_GB2312" w:cs="仿宋_GB2312"/>
          <w:b w:val="0"/>
          <w:bCs w:val="0"/>
          <w:sz w:val="32"/>
          <w:szCs w:val="32"/>
          <w:highlight w:val="none"/>
          <w:lang w:val="en-US" w:eastAsia="zh-CN"/>
        </w:rPr>
        <w:t>长垣市中心城区，禁止使用高排放非道路移动机械</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具体范围详见长垣市国土空间总体规划（2021—2035年）。</w:t>
      </w:r>
    </w:p>
    <w:p w14:paraId="333C9EA6">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jc w:val="both"/>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color w:val="000000"/>
          <w:kern w:val="0"/>
          <w:sz w:val="32"/>
          <w:szCs w:val="32"/>
          <w:u w:val="none"/>
          <w:lang w:val="en-US" w:eastAsia="zh-CN" w:bidi="ar"/>
        </w:rPr>
        <w:t>（二）</w:t>
      </w:r>
      <w:r>
        <w:rPr>
          <w:rFonts w:hint="eastAsia" w:ascii="仿宋_GB2312" w:hAnsi="仿宋_GB2312" w:eastAsia="仿宋_GB2312" w:cs="仿宋_GB2312"/>
          <w:sz w:val="32"/>
          <w:szCs w:val="32"/>
          <w:u w:val="none"/>
          <w:lang w:val="en-US" w:eastAsia="zh-CN"/>
        </w:rPr>
        <w:t>长垣</w:t>
      </w:r>
      <w:r>
        <w:rPr>
          <w:rFonts w:hint="eastAsia" w:ascii="仿宋_GB2312" w:hAnsi="仿宋_GB2312" w:eastAsia="仿宋_GB2312" w:cs="仿宋_GB2312"/>
          <w:sz w:val="32"/>
          <w:szCs w:val="32"/>
          <w:u w:val="none"/>
        </w:rPr>
        <w:t>市辖区内的铁路货场、物流园区和工矿企业</w:t>
      </w:r>
      <w:r>
        <w:rPr>
          <w:rFonts w:hint="eastAsia" w:ascii="仿宋_GB2312" w:hAnsi="仿宋_GB2312" w:eastAsia="仿宋_GB2312" w:cs="仿宋_GB2312"/>
          <w:sz w:val="32"/>
          <w:szCs w:val="32"/>
          <w:u w:val="none"/>
          <w:lang w:eastAsia="zh-CN"/>
        </w:rPr>
        <w:t>等</w:t>
      </w:r>
      <w:r>
        <w:rPr>
          <w:rFonts w:hint="eastAsia" w:ascii="仿宋_GB2312" w:hAnsi="仿宋_GB2312" w:eastAsia="仿宋_GB2312" w:cs="仿宋_GB2312"/>
          <w:sz w:val="32"/>
          <w:szCs w:val="32"/>
          <w:u w:val="none"/>
        </w:rPr>
        <w:t>，禁止使用</w:t>
      </w:r>
      <w:r>
        <w:rPr>
          <w:rFonts w:hint="eastAsia" w:ascii="仿宋_GB2312" w:hAnsi="仿宋_GB2312" w:eastAsia="仿宋_GB2312" w:cs="仿宋_GB2312"/>
          <w:sz w:val="32"/>
          <w:szCs w:val="32"/>
          <w:u w:val="none"/>
          <w:lang w:eastAsia="zh-CN"/>
        </w:rPr>
        <w:t>高</w:t>
      </w:r>
      <w:r>
        <w:rPr>
          <w:rFonts w:hint="eastAsia" w:ascii="仿宋_GB2312" w:hAnsi="仿宋_GB2312" w:eastAsia="仿宋_GB2312" w:cs="仿宋_GB2312"/>
          <w:sz w:val="32"/>
          <w:szCs w:val="32"/>
          <w:u w:val="none"/>
        </w:rPr>
        <w:t>排放非道路移动机械。</w:t>
      </w:r>
    </w:p>
    <w:p w14:paraId="45918C7E">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jc w:val="both"/>
        <w:textAlignment w:val="auto"/>
        <w:rPr>
          <w:rFonts w:hint="eastAsia" w:ascii="Times New Roman" w:hAnsi="Times New Roman" w:eastAsia="仿宋_GB2312" w:cs="Times New Roman"/>
          <w:color w:val="000000"/>
          <w:sz w:val="32"/>
          <w:szCs w:val="32"/>
          <w:lang w:val="en-US" w:eastAsia="zh-CN"/>
        </w:rPr>
      </w:pPr>
      <w:r>
        <w:rPr>
          <w:rFonts w:hint="eastAsia" w:ascii="Times New Roman" w:hAnsi="Times New Roman" w:eastAsia="黑体" w:cs="Times New Roman"/>
          <w:b w:val="0"/>
          <w:bCs w:val="0"/>
          <w:sz w:val="32"/>
          <w:szCs w:val="32"/>
          <w:lang w:val="en-US" w:eastAsia="zh-CN"/>
        </w:rPr>
        <w:t>三、禁用区高排放非道路移动机械管理</w:t>
      </w:r>
    </w:p>
    <w:p w14:paraId="513368D6">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（一）禁止使用区域内，禁止使用高排放的非道路移动机械，工程招标和施工、生产中，鼓励选用电动、氢能等新能源工程机械。</w:t>
      </w:r>
    </w:p>
    <w:p w14:paraId="6D2356B0">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二）禁止使用区域内，所有在用非道路移动机械应按照《河南省生态环境厅办公室关于进一步推进非道路移动机械摸底调查和编码登记工作的通知》（豫环办〔2020〕30号）要求编码登记上牌，定位联网实时在线，且有尾气检测合格报告。</w:t>
      </w:r>
    </w:p>
    <w:p w14:paraId="057A310E">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（三）执行应急抢险抢修任务的非道路移动机械不受上述措施限制。</w:t>
      </w:r>
    </w:p>
    <w:p w14:paraId="28610095">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jc w:val="both"/>
        <w:textAlignment w:val="auto"/>
        <w:rPr>
          <w:rFonts w:hint="eastAsia" w:ascii="Times New Roman" w:hAnsi="Times New Roman" w:eastAsia="黑体" w:cs="Times New Roman"/>
          <w:b w:val="0"/>
          <w:bCs w:val="0"/>
          <w:sz w:val="32"/>
          <w:szCs w:val="32"/>
          <w:lang w:val="en-US" w:eastAsia="zh-CN"/>
        </w:rPr>
      </w:pPr>
      <w:r>
        <w:rPr>
          <w:rFonts w:hint="eastAsia" w:ascii="Times New Roman" w:hAnsi="Times New Roman" w:eastAsia="黑体" w:cs="Times New Roman"/>
          <w:b w:val="0"/>
          <w:bCs w:val="0"/>
          <w:sz w:val="32"/>
          <w:szCs w:val="32"/>
          <w:lang w:val="en-US" w:eastAsia="zh-CN"/>
        </w:rPr>
        <w:t>四、实施时间</w:t>
      </w:r>
    </w:p>
    <w:p w14:paraId="4BB69CAD">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jc w:val="both"/>
        <w:textAlignment w:val="auto"/>
        <w:rPr>
          <w:rFonts w:hint="default" w:ascii="仿宋_GB2312" w:hAnsi="仿宋_GB2312" w:eastAsia="仿宋_GB2312" w:cs="仿宋_GB2312"/>
          <w:color w:val="auto"/>
          <w:sz w:val="32"/>
          <w:szCs w:val="32"/>
          <w:highlight w:val="none"/>
          <w:u w:val="none"/>
          <w:lang w:eastAsia="zh-CN"/>
        </w:rPr>
      </w:pPr>
      <w:r>
        <w:rPr>
          <w:rFonts w:hint="eastAsia" w:ascii="Times New Roman" w:hAnsi="Times New Roman" w:eastAsia="仿宋_GB2312" w:cs="Times New Roman"/>
          <w:color w:val="000000"/>
          <w:sz w:val="32"/>
          <w:szCs w:val="32"/>
          <w:lang w:val="en-US" w:eastAsia="zh-CN"/>
        </w:rPr>
        <w:t>本通告自发布之日起实施。</w:t>
      </w:r>
      <w:r>
        <w:rPr>
          <w:rFonts w:hint="default" w:ascii="仿宋_GB2312" w:hAnsi="仿宋_GB2312" w:eastAsia="仿宋_GB2312" w:cs="仿宋_GB2312"/>
          <w:color w:val="auto"/>
          <w:sz w:val="32"/>
          <w:szCs w:val="32"/>
          <w:highlight w:val="none"/>
          <w:u w:val="none"/>
          <w:lang w:eastAsia="zh-CN"/>
        </w:rPr>
        <w:t>《</w:t>
      </w:r>
      <w:r>
        <w:rPr>
          <w:rFonts w:hint="default" w:ascii="仿宋_GB2312" w:hAnsi="仿宋_GB2312" w:eastAsia="仿宋_GB2312" w:cs="仿宋_GB2312"/>
          <w:color w:val="auto"/>
          <w:sz w:val="32"/>
          <w:szCs w:val="32"/>
          <w:highlight w:val="none"/>
          <w:u w:val="none"/>
          <w:lang w:val="en-US" w:eastAsia="zh-CN"/>
        </w:rPr>
        <w:t>长垣市人民政府</w:t>
      </w:r>
      <w:r>
        <w:rPr>
          <w:rFonts w:hint="default" w:ascii="仿宋_GB2312" w:hAnsi="仿宋_GB2312" w:eastAsia="仿宋_GB2312" w:cs="仿宋_GB2312"/>
          <w:color w:val="auto"/>
          <w:sz w:val="32"/>
          <w:szCs w:val="32"/>
          <w:highlight w:val="none"/>
          <w:u w:val="none"/>
          <w:lang w:eastAsia="zh-CN"/>
        </w:rPr>
        <w:t>关于调整高排放非道路移动机械禁用区的</w:t>
      </w:r>
      <w:r>
        <w:rPr>
          <w:rFonts w:hint="eastAsia" w:ascii="仿宋_GB2312" w:hAnsi="仿宋_GB2312" w:eastAsia="仿宋_GB2312" w:cs="仿宋_GB2312"/>
          <w:color w:val="auto"/>
          <w:sz w:val="32"/>
          <w:szCs w:val="32"/>
          <w:highlight w:val="none"/>
          <w:u w:val="none"/>
          <w:lang w:val="en-US" w:eastAsia="zh-CN"/>
        </w:rPr>
        <w:t>的通告</w:t>
      </w:r>
      <w:r>
        <w:rPr>
          <w:rFonts w:hint="default"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lang w:val="en-US" w:eastAsia="zh-CN"/>
        </w:rPr>
        <w:t>长</w:t>
      </w:r>
      <w:r>
        <w:rPr>
          <w:rFonts w:hint="default" w:ascii="仿宋_GB2312" w:hAnsi="仿宋_GB2312" w:eastAsia="仿宋_GB2312" w:cs="仿宋_GB2312"/>
          <w:color w:val="auto"/>
          <w:sz w:val="32"/>
          <w:szCs w:val="32"/>
          <w:highlight w:val="none"/>
          <w:u w:val="none"/>
          <w:lang w:eastAsia="zh-CN"/>
        </w:rPr>
        <w:t>政</w:t>
      </w:r>
      <w:r>
        <w:rPr>
          <w:rFonts w:hint="eastAsia" w:ascii="仿宋_GB2312" w:hAnsi="仿宋_GB2312" w:eastAsia="仿宋_GB2312" w:cs="仿宋_GB2312"/>
          <w:color w:val="auto"/>
          <w:sz w:val="32"/>
          <w:szCs w:val="32"/>
          <w:highlight w:val="none"/>
          <w:u w:val="none"/>
          <w:lang w:val="en-US" w:eastAsia="zh-CN"/>
        </w:rPr>
        <w:t>告</w:t>
      </w:r>
      <w:r>
        <w:rPr>
          <w:rFonts w:hint="eastAsia" w:ascii="仿宋_GB2312" w:hAnsi="仿宋_GB2312" w:eastAsia="仿宋_GB2312" w:cs="仿宋_GB2312"/>
          <w:color w:val="auto"/>
          <w:sz w:val="32"/>
          <w:szCs w:val="32"/>
          <w:highlight w:val="none"/>
          <w:u w:val="none"/>
          <w:lang w:eastAsia="zh-CN"/>
        </w:rPr>
        <w:t>〔20</w:t>
      </w:r>
      <w:r>
        <w:rPr>
          <w:rFonts w:hint="eastAsia" w:ascii="仿宋_GB2312" w:hAnsi="仿宋_GB2312" w:eastAsia="仿宋_GB2312" w:cs="仿宋_GB2312"/>
          <w:color w:val="auto"/>
          <w:sz w:val="32"/>
          <w:szCs w:val="32"/>
          <w:highlight w:val="none"/>
          <w:u w:val="none"/>
          <w:lang w:val="en-US" w:eastAsia="zh-CN"/>
        </w:rPr>
        <w:t>22</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lang w:val="en-US" w:eastAsia="zh-CN"/>
        </w:rPr>
        <w:t>1</w:t>
      </w:r>
      <w:r>
        <w:rPr>
          <w:rFonts w:hint="eastAsia" w:ascii="仿宋_GB2312" w:hAnsi="仿宋_GB2312" w:eastAsia="仿宋_GB2312" w:cs="仿宋_GB2312"/>
          <w:color w:val="auto"/>
          <w:sz w:val="32"/>
          <w:szCs w:val="32"/>
          <w:highlight w:val="none"/>
          <w:u w:val="none"/>
          <w:lang w:eastAsia="zh-CN"/>
        </w:rPr>
        <w:t>号</w:t>
      </w:r>
      <w:r>
        <w:rPr>
          <w:rFonts w:hint="default"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lang w:eastAsia="zh-CN"/>
        </w:rPr>
        <w:t>同时</w:t>
      </w:r>
      <w:r>
        <w:rPr>
          <w:rFonts w:hint="default" w:ascii="仿宋_GB2312" w:hAnsi="仿宋_GB2312" w:eastAsia="仿宋_GB2312" w:cs="仿宋_GB2312"/>
          <w:color w:val="auto"/>
          <w:sz w:val="32"/>
          <w:szCs w:val="32"/>
          <w:highlight w:val="none"/>
          <w:u w:val="none"/>
          <w:lang w:val="en-US" w:eastAsia="zh-CN"/>
        </w:rPr>
        <w:t>废止</w:t>
      </w:r>
      <w:r>
        <w:rPr>
          <w:rFonts w:hint="eastAsia" w:ascii="Times New Roman" w:hAnsi="Times New Roman" w:eastAsia="仿宋_GB2312" w:cs="Times New Roman"/>
          <w:color w:val="000000"/>
          <w:sz w:val="32"/>
          <w:szCs w:val="32"/>
          <w:lang w:val="en-US" w:eastAsia="zh-CN"/>
        </w:rPr>
        <w:t>。</w:t>
      </w:r>
    </w:p>
    <w:p w14:paraId="5A1072B4">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jc w:val="both"/>
        <w:textAlignment w:val="auto"/>
        <w:rPr>
          <w:rFonts w:hint="default" w:ascii="仿宋_GB2312" w:hAnsi="仿宋_GB2312" w:eastAsia="仿宋_GB2312" w:cs="仿宋_GB2312"/>
          <w:color w:val="auto"/>
          <w:sz w:val="32"/>
          <w:szCs w:val="32"/>
          <w:highlight w:val="none"/>
          <w:u w:val="none"/>
          <w:lang w:val="en-US" w:eastAsia="zh-CN"/>
        </w:rPr>
      </w:pPr>
      <w:r>
        <w:rPr>
          <w:rFonts w:hint="default" w:ascii="仿宋_GB2312" w:hAnsi="仿宋_GB2312" w:eastAsia="仿宋_GB2312" w:cs="仿宋_GB2312"/>
          <w:color w:val="auto"/>
          <w:sz w:val="32"/>
          <w:szCs w:val="32"/>
          <w:highlight w:val="none"/>
          <w:u w:val="none"/>
          <w:lang w:val="en-US" w:eastAsia="zh-CN"/>
        </w:rPr>
        <w:t>特此通告。</w:t>
      </w:r>
    </w:p>
    <w:p w14:paraId="0349EDE8">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jc w:val="both"/>
        <w:textAlignment w:val="auto"/>
        <w:rPr>
          <w:rFonts w:hint="default" w:ascii="仿宋_GB2312" w:hAnsi="仿宋_GB2312" w:eastAsia="仿宋_GB2312" w:cs="仿宋_GB2312"/>
          <w:color w:val="auto"/>
          <w:sz w:val="32"/>
          <w:szCs w:val="32"/>
          <w:highlight w:val="none"/>
          <w:u w:val="none"/>
          <w:lang w:val="en-US" w:eastAsia="zh-CN"/>
        </w:rPr>
      </w:pPr>
    </w:p>
    <w:p w14:paraId="2DF03299">
      <w:pPr>
        <w:pStyle w:val="4"/>
        <w:keepNext w:val="0"/>
        <w:keepLines w:val="0"/>
        <w:pageBreakBefore w:val="0"/>
        <w:widowControl w:val="0"/>
        <w:kinsoku/>
        <w:wordWrap w:val="0"/>
        <w:overflowPunct/>
        <w:topLinePunct w:val="0"/>
        <w:autoSpaceDE/>
        <w:autoSpaceDN/>
        <w:bidi w:val="0"/>
        <w:adjustRightInd/>
        <w:snapToGrid/>
        <w:spacing w:line="520" w:lineRule="exact"/>
        <w:ind w:left="0" w:leftChars="0" w:right="0" w:rightChars="0" w:firstLine="0" w:firstLineChars="0"/>
        <w:jc w:val="right"/>
        <w:textAlignment w:val="top"/>
        <w:outlineLvl w:val="9"/>
        <w:rPr>
          <w:rFonts w:hint="eastAsia" w:ascii="仿宋_GB2312" w:hAnsi="仿宋_GB2312" w:eastAsia="仿宋_GB2312" w:cs="仿宋_GB2312"/>
          <w:kern w:val="0"/>
          <w:sz w:val="32"/>
          <w:szCs w:val="32"/>
          <w:lang w:val="en-US" w:eastAsia="zh-CN" w:bidi="ar-SA"/>
        </w:rPr>
      </w:pPr>
      <w:bookmarkStart w:id="0" w:name="_GoBack"/>
      <w:bookmarkEnd w:id="0"/>
    </w:p>
    <w:p w14:paraId="004C522F">
      <w:pPr>
        <w:spacing w:line="560" w:lineRule="exact"/>
        <w:ind w:left="0" w:leftChars="0" w:firstLine="5760" w:firstLineChars="1800"/>
        <w:jc w:val="left"/>
        <w:rPr>
          <w:rFonts w:ascii="Times New Roman" w:hAnsi="Times New Roman" w:eastAsia="仿宋_GB2312" w:cs="Times New Roman"/>
          <w:color w:val="auto"/>
        </w:rPr>
      </w:pPr>
      <w:r>
        <w:rPr>
          <w:rFonts w:hint="eastAsia" w:ascii="仿宋_GB2312" w:hAnsi="仿宋_GB2312" w:eastAsia="仿宋_GB2312" w:cs="仿宋_GB2312"/>
          <w:kern w:val="0"/>
          <w:sz w:val="32"/>
          <w:szCs w:val="32"/>
          <w:lang w:val="en-US" w:eastAsia="zh-CN" w:bidi="ar-SA"/>
        </w:rPr>
        <w:t xml:space="preserve">    </w:t>
      </w:r>
    </w:p>
    <w:sectPr>
      <w:headerReference r:id="rId7" w:type="first"/>
      <w:headerReference r:id="rId5" w:type="default"/>
      <w:footerReference r:id="rId8" w:type="default"/>
      <w:headerReference r:id="rId6" w:type="even"/>
      <w:footerReference r:id="rId9" w:type="even"/>
      <w:pgSz w:w="11906" w:h="16838"/>
      <w:pgMar w:top="2098" w:right="1474" w:bottom="1984" w:left="158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7253CA7-36C1-45CE-A7B0-B3624B3A254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embedRegular r:id="rId2" w:fontKey="{4E2F9503-32B0-48D8-870F-382691304924}"/>
  </w:font>
  <w:font w:name="华文中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script"/>
    <w:pitch w:val="default"/>
    <w:sig w:usb0="00000001" w:usb1="080E0000" w:usb2="00000000" w:usb3="00000000" w:csb0="00040000" w:csb1="00000000"/>
    <w:embedRegular r:id="rId3" w:fontKey="{35D59F47-D360-44B6-8A3E-7B6B5C3E6143}"/>
  </w:font>
  <w:font w:name="楷体_GB2312">
    <w:panose1 w:val="02010609030101010101"/>
    <w:charset w:val="86"/>
    <w:family w:val="modern"/>
    <w:pitch w:val="default"/>
    <w:sig w:usb0="00000001" w:usb1="080E0000" w:usb2="00000000" w:usb3="00000000" w:csb0="00040000" w:csb1="00000000"/>
    <w:embedRegular r:id="rId4" w:fontKey="{553EDE8F-2244-467D-A694-A8E3D828071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C0AE16">
    <w:pPr>
      <w:pStyle w:val="5"/>
      <w:ind w:firstLine="360"/>
    </w:pPr>
    <w:r>
      <w:pict>
        <v:rect id="文本框 1" o:spid="_x0000_s1027" o:spt="1"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">
          <v:path/>
          <v:fill on="f" focussize="0,0"/>
          <v:stroke on="f"/>
          <v:imagedata o:title=""/>
          <o:lock v:ext="edit"/>
          <v:textbox inset="0mm,0mm,0mm,0mm" style="mso-fit-shape-to-text:t;">
            <w:txbxContent>
              <w:p w14:paraId="04028A14">
                <w:pPr>
                  <w:pStyle w:val="5"/>
                  <w:ind w:firstLine="0" w:firstLineChars="0"/>
                  <w:jc w:val="center"/>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6</w:t>
                </w:r>
                <w:r>
                  <w:rPr>
                    <w:rFonts w:ascii="Times New Roman" w:hAnsi="Times New Roman" w:cs="Times New Roman"/>
                    <w:sz w:val="24"/>
                    <w:szCs w:val="24"/>
                  </w:rPr>
                  <w:fldChar w:fldCharType="end"/>
                </w:r>
                <w:r>
                  <w:rPr>
                    <w:rFonts w:ascii="Times New Roman" w:hAnsi="Times New Roman" w:cs="Times New Roman"/>
                    <w:sz w:val="24"/>
                    <w:szCs w:val="24"/>
                  </w:rPr>
                  <w:t xml:space="preserve"> —</w:t>
                </w:r>
              </w:p>
            </w:txbxContent>
          </v:textbox>
        </v:rect>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5B4A97">
    <w:pPr>
      <w:pStyle w:val="5"/>
      <w:ind w:firstLine="360"/>
      <w:rPr>
        <w:rStyle w:val="9"/>
      </w:rPr>
    </w:pPr>
    <w:r>
      <w:rPr>
        <w:rStyle w:val="9"/>
      </w:rPr>
      <w:fldChar w:fldCharType="begin"/>
    </w:r>
    <w:r>
      <w:rPr>
        <w:rStyle w:val="9"/>
      </w:rPr>
      <w:instrText xml:space="preserve">PAGE  </w:instrText>
    </w:r>
    <w:r>
      <w:rPr>
        <w:rStyle w:val="9"/>
      </w:rPr>
      <w:fldChar w:fldCharType="end"/>
    </w:r>
  </w:p>
  <w:p w14:paraId="6DFD475E">
    <w:pPr>
      <w:pStyle w:val="5"/>
      <w:ind w:firstLine="360"/>
    </w:pPr>
  </w:p>
  <w:p w14:paraId="0DC1CCC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8F2737">
    <w:pPr>
      <w:pStyle w:val="6"/>
      <w:pBdr>
        <w:bottom w:val="none" w:color="auto" w:sz="0" w:space="1"/>
      </w:pBdr>
      <w:ind w:firstLine="360"/>
    </w:pPr>
  </w:p>
  <w:p w14:paraId="0CA700C7"/>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489FF5">
    <w:pPr>
      <w:pStyle w:val="6"/>
      <w:ind w:firstLine="360"/>
    </w:pPr>
  </w:p>
  <w:p w14:paraId="2C069E1E"/>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0EAC45">
    <w:pPr>
      <w:pStyle w:val="6"/>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TVlYTY5ZmIzMTQ0ZTEwNGQxY2E4OThiMTcyNjcxNmEifQ=="/>
  </w:docVars>
  <w:rsids>
    <w:rsidRoot w:val="009E3AAD"/>
    <w:rsid w:val="000B1882"/>
    <w:rsid w:val="00320CD4"/>
    <w:rsid w:val="00425BCC"/>
    <w:rsid w:val="004745B7"/>
    <w:rsid w:val="005A21BB"/>
    <w:rsid w:val="005F42AF"/>
    <w:rsid w:val="00636CD5"/>
    <w:rsid w:val="007B2FF2"/>
    <w:rsid w:val="007C330F"/>
    <w:rsid w:val="008B12CA"/>
    <w:rsid w:val="008C6F8B"/>
    <w:rsid w:val="009003F5"/>
    <w:rsid w:val="009E3AAD"/>
    <w:rsid w:val="00A40C35"/>
    <w:rsid w:val="00A63BB8"/>
    <w:rsid w:val="00B65093"/>
    <w:rsid w:val="00CA5891"/>
    <w:rsid w:val="00FF28A0"/>
    <w:rsid w:val="1B8003C8"/>
    <w:rsid w:val="20892204"/>
    <w:rsid w:val="225C561F"/>
    <w:rsid w:val="25123713"/>
    <w:rsid w:val="35FF438C"/>
    <w:rsid w:val="4A62535B"/>
    <w:rsid w:val="4E990B6C"/>
    <w:rsid w:val="54675F29"/>
    <w:rsid w:val="575710D7"/>
    <w:rsid w:val="5AFF76CD"/>
    <w:rsid w:val="71C22AB3"/>
    <w:rsid w:val="75BF884A"/>
    <w:rsid w:val="797E9953"/>
    <w:rsid w:val="7C4C6E9A"/>
    <w:rsid w:val="7D6EC913"/>
    <w:rsid w:val="7DDBFFDF"/>
    <w:rsid w:val="95FBAB79"/>
    <w:rsid w:val="BFFB95D0"/>
    <w:rsid w:val="C757EF7C"/>
    <w:rsid w:val="DAC874A0"/>
    <w:rsid w:val="DB77CF02"/>
    <w:rsid w:val="E733E703"/>
    <w:rsid w:val="EDDF9398"/>
    <w:rsid w:val="F4E62577"/>
    <w:rsid w:val="FCDE3A2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640" w:firstLineChars="200"/>
      <w:jc w:val="center"/>
    </w:pPr>
    <w:rPr>
      <w:rFonts w:ascii="微软雅黑" w:hAnsi="ˎ̥" w:eastAsia="微软雅黑" w:cs="宋体"/>
      <w:color w:val="000000"/>
      <w:sz w:val="32"/>
      <w:szCs w:val="3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_Style 1"/>
    <w:basedOn w:val="1"/>
    <w:qFormat/>
    <w:uiPriority w:val="0"/>
    <w:pPr>
      <w:spacing w:line="481" w:lineRule="atLeast"/>
      <w:ind w:firstLine="623"/>
      <w:jc w:val="both"/>
      <w:textAlignment w:val="baseline"/>
    </w:pPr>
    <w:rPr>
      <w:rFonts w:ascii="Times New Roman" w:eastAsia="仿宋_GB2312"/>
      <w:color w:val="000000"/>
      <w:sz w:val="31"/>
      <w:u w:val="none" w:color="000000"/>
      <w:vertAlign w:val="baseline"/>
      <w:lang w:val="en-US" w:eastAsia="zh-CN"/>
    </w:rPr>
  </w:style>
  <w:style w:type="paragraph" w:styleId="3">
    <w:name w:val="Body Text Indent"/>
    <w:basedOn w:val="1"/>
    <w:next w:val="4"/>
    <w:qFormat/>
    <w:uiPriority w:val="0"/>
    <w:pPr>
      <w:spacing w:after="120"/>
      <w:ind w:left="420" w:leftChars="200"/>
    </w:pPr>
  </w:style>
  <w:style w:type="paragraph" w:styleId="4">
    <w:name w:val="Body Text First Indent 2"/>
    <w:basedOn w:val="3"/>
    <w:next w:val="1"/>
    <w:unhideWhenUsed/>
    <w:qFormat/>
    <w:uiPriority w:val="99"/>
    <w:pPr>
      <w:ind w:firstLine="420"/>
    </w:pPr>
    <w:rPr>
      <w:rFonts w:ascii="Calibri" w:hAnsi="Calibri" w:eastAsia="宋体"/>
      <w:sz w:val="21"/>
      <w:szCs w:val="24"/>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pPr>
    <w:rPr>
      <w:sz w:val="18"/>
      <w:szCs w:val="18"/>
    </w:rPr>
  </w:style>
  <w:style w:type="character" w:styleId="9">
    <w:name w:val="page number"/>
    <w:basedOn w:val="8"/>
    <w:qFormat/>
    <w:uiPriority w:val="0"/>
  </w:style>
  <w:style w:type="paragraph" w:customStyle="1" w:styleId="10">
    <w:name w:val="修订1"/>
    <w:hidden/>
    <w:semiHidden/>
    <w:qFormat/>
    <w:uiPriority w:val="99"/>
    <w:rPr>
      <w:rFonts w:ascii="微软雅黑" w:hAnsi="ˎ̥" w:eastAsia="微软雅黑" w:cs="宋体"/>
      <w:color w:val="000000"/>
      <w:sz w:val="32"/>
      <w:szCs w:val="3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1115</Words>
  <Characters>1178</Characters>
  <Lines>17</Lines>
  <Paragraphs>4</Paragraphs>
  <TotalTime>0</TotalTime>
  <ScaleCrop>false</ScaleCrop>
  <LinksUpToDate>false</LinksUpToDate>
  <CharactersWithSpaces>1202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2024-06-08T02:32:00Z</dcterms:created>
  <dc:creator>Administrator</dc:creator>
  <cp:lastModifiedBy>转身距离</cp:lastModifiedBy>
  <cp:lastPrinted>2024-11-28T00:54:00Z</cp:lastPrinted>
  <dcterms:modified xsi:type="dcterms:W3CDTF">2025-12-09T08:52:34Z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B4854D01D8B3B1CE740C616628C56A34</vt:lpwstr>
  </property>
  <property fmtid="{D5CDD505-2E9C-101B-9397-08002B2CF9AE}" pid="4" name="KSOTemplateDocerSaveRecord">
    <vt:lpwstr>eyJoZGlkIjoiMGVjMzQ2MzcxZDQ4NzZiMjY4NmJiOWExMzE1ZDBjYjAiLCJ1c2VySWQiOiIzNTY5NTI3MzkifQ==</vt:lpwstr>
  </property>
</Properties>
</file>