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2A397">
      <w:pPr>
        <w:pageBreakBefore w:val="0"/>
        <w:widowControl w:val="0"/>
        <w:kinsoku/>
        <w:wordWrap/>
        <w:overflowPunct/>
        <w:topLinePunct w:val="0"/>
        <w:bidi w:val="0"/>
        <w:adjustRightInd/>
        <w:snapToGrid/>
        <w:spacing w:after="0" w:afterAutospacing="0" w:line="576" w:lineRule="exact"/>
        <w:ind w:firstLine="0" w:firstLineChars="0"/>
        <w:jc w:val="both"/>
        <w:textAlignment w:val="auto"/>
        <w:rPr>
          <w:rFonts w:ascii="Calibri" w:hAnsi="Calibri" w:eastAsia="宋体" w:cs="Times New Roman"/>
          <w:kern w:val="2"/>
          <w:sz w:val="32"/>
          <w:szCs w:val="32"/>
        </w:rPr>
      </w:pPr>
      <w:bookmarkStart w:id="0" w:name="_GoBack"/>
      <w:bookmarkEnd w:id="0"/>
      <w:r>
        <w:rPr>
          <w:rFonts w:hint="eastAsia" w:ascii="黑体" w:hAnsi="黑体" w:eastAsia="黑体" w:cs="Times New Roman"/>
          <w:kern w:val="2"/>
          <w:sz w:val="32"/>
          <w:szCs w:val="32"/>
        </w:rPr>
        <w:t>附件</w:t>
      </w:r>
      <w:r>
        <w:rPr>
          <w:rFonts w:ascii="黑体" w:hAnsi="黑体" w:eastAsia="黑体" w:cs="Times New Roman"/>
          <w:kern w:val="2"/>
          <w:sz w:val="32"/>
          <w:szCs w:val="32"/>
        </w:rPr>
        <w:t>1</w:t>
      </w:r>
    </w:p>
    <w:p w14:paraId="58AA8E37">
      <w:pPr>
        <w:keepNext/>
        <w:keepLines/>
        <w:pageBreakBefore w:val="0"/>
        <w:widowControl w:val="0"/>
        <w:kinsoku/>
        <w:wordWrap/>
        <w:overflowPunct/>
        <w:topLinePunct w:val="0"/>
        <w:bidi w:val="0"/>
        <w:spacing w:before="0" w:beforeLines="0" w:beforeAutospacing="0" w:after="0" w:afterLines="0" w:afterAutospacing="0" w:line="576" w:lineRule="exact"/>
        <w:ind w:firstLine="0" w:firstLineChars="0"/>
        <w:jc w:val="center"/>
        <w:textAlignment w:val="auto"/>
        <w:outlineLvl w:val="0"/>
        <w:rPr>
          <w:rFonts w:ascii="Calibri" w:hAnsi="Calibri" w:eastAsia="方正小标宋简体" w:cs="Times New Roman"/>
          <w:kern w:val="44"/>
          <w:sz w:val="44"/>
          <w:szCs w:val="24"/>
          <w:lang w:val="en-US" w:eastAsia="zh-CN" w:bidi="ar-SA"/>
        </w:rPr>
      </w:pPr>
      <w:r>
        <w:rPr>
          <w:rFonts w:hint="eastAsia" w:ascii="Calibri" w:hAnsi="Calibri" w:eastAsia="方正小标宋简体" w:cs="Times New Roman"/>
          <w:kern w:val="44"/>
          <w:sz w:val="44"/>
          <w:szCs w:val="24"/>
          <w:lang w:val="en-US" w:eastAsia="zh-CN" w:bidi="ar-SA"/>
        </w:rPr>
        <w:t>长垣市起重装备产业</w:t>
      </w:r>
    </w:p>
    <w:p w14:paraId="0D3123B4">
      <w:pPr>
        <w:keepNext/>
        <w:keepLines/>
        <w:pageBreakBefore w:val="0"/>
        <w:widowControl w:val="0"/>
        <w:kinsoku/>
        <w:wordWrap/>
        <w:overflowPunct/>
        <w:topLinePunct w:val="0"/>
        <w:bidi w:val="0"/>
        <w:spacing w:before="0" w:beforeLines="0" w:beforeAutospacing="0" w:after="0" w:afterLines="0" w:afterAutospacing="0" w:line="576" w:lineRule="exact"/>
        <w:ind w:firstLine="0" w:firstLineChars="0"/>
        <w:jc w:val="center"/>
        <w:textAlignment w:val="auto"/>
        <w:outlineLvl w:val="0"/>
        <w:rPr>
          <w:rFonts w:ascii="Calibri" w:hAnsi="Calibri" w:eastAsia="方正小标宋简体" w:cs="Times New Roman"/>
          <w:kern w:val="44"/>
          <w:sz w:val="44"/>
          <w:szCs w:val="24"/>
          <w:lang w:val="en-US" w:eastAsia="zh-CN" w:bidi="ar-SA"/>
        </w:rPr>
      </w:pPr>
      <w:r>
        <w:rPr>
          <w:rFonts w:hint="eastAsia" w:ascii="Calibri" w:hAnsi="Calibri" w:eastAsia="方正小标宋简体" w:cs="Times New Roman"/>
          <w:kern w:val="44"/>
          <w:sz w:val="44"/>
          <w:szCs w:val="24"/>
          <w:lang w:val="en-US" w:eastAsia="zh-CN" w:bidi="ar-SA"/>
        </w:rPr>
        <w:t>研发基金重点项目申报指南</w:t>
      </w:r>
    </w:p>
    <w:p w14:paraId="7E505A78">
      <w:pPr>
        <w:keepNext/>
        <w:keepLines/>
        <w:pageBreakBefore w:val="0"/>
        <w:widowControl w:val="0"/>
        <w:kinsoku/>
        <w:wordWrap/>
        <w:overflowPunct/>
        <w:topLinePunct w:val="0"/>
        <w:bidi w:val="0"/>
        <w:spacing w:before="0" w:beforeLines="0" w:beforeAutospacing="0" w:after="0" w:afterLines="0" w:afterAutospacing="0" w:line="576" w:lineRule="exact"/>
        <w:ind w:firstLine="0" w:firstLineChars="0"/>
        <w:jc w:val="center"/>
        <w:textAlignment w:val="auto"/>
        <w:outlineLvl w:val="0"/>
        <w:rPr>
          <w:rFonts w:ascii="Calibri" w:hAnsi="Calibri" w:eastAsia="方正小标宋简体" w:cs="Times New Roman"/>
          <w:kern w:val="44"/>
          <w:sz w:val="44"/>
          <w:szCs w:val="24"/>
          <w:lang w:val="en-US" w:eastAsia="zh-CN" w:bidi="ar-SA"/>
        </w:rPr>
      </w:pPr>
    </w:p>
    <w:p w14:paraId="45A0A8AD">
      <w:pPr>
        <w:keepNext/>
        <w:keepLines/>
        <w:pageBreakBefore w:val="0"/>
        <w:widowControl w:val="0"/>
        <w:kinsoku/>
        <w:wordWrap/>
        <w:overflowPunct/>
        <w:topLinePunct w:val="0"/>
        <w:bidi w:val="0"/>
        <w:spacing w:before="0" w:beforeLines="0" w:beforeAutospacing="0" w:after="0" w:afterLines="0" w:afterAutospacing="0" w:line="576" w:lineRule="exact"/>
        <w:ind w:firstLine="640" w:firstLineChars="200"/>
        <w:jc w:val="both"/>
        <w:textAlignment w:val="auto"/>
        <w:outlineLvl w:val="1"/>
        <w:rPr>
          <w:rFonts w:ascii="Arial" w:hAnsi="Arial" w:eastAsia="黑体" w:cs="Times New Roman"/>
          <w:kern w:val="2"/>
          <w:sz w:val="32"/>
          <w:szCs w:val="24"/>
          <w:lang w:val="en-US" w:eastAsia="zh-CN" w:bidi="ar-SA"/>
        </w:rPr>
      </w:pPr>
      <w:r>
        <w:rPr>
          <w:rFonts w:hint="eastAsia" w:ascii="Arial" w:hAnsi="Arial" w:eastAsia="黑体" w:cs="Times New Roman"/>
          <w:kern w:val="2"/>
          <w:sz w:val="32"/>
          <w:szCs w:val="24"/>
          <w:lang w:val="en-US" w:eastAsia="zh-CN" w:bidi="ar-SA"/>
        </w:rPr>
        <w:t>一、领域发展总体目标</w:t>
      </w:r>
    </w:p>
    <w:p w14:paraId="7B7BCD82">
      <w:pPr>
        <w:pageBreakBefore w:val="0"/>
        <w:widowControl w:val="0"/>
        <w:kinsoku/>
        <w:wordWrap/>
        <w:overflowPunct/>
        <w:topLinePunct w:val="0"/>
        <w:bidi w:val="0"/>
        <w:adjustRightInd/>
        <w:snapToGrid/>
        <w:spacing w:beforeAutospacing="0" w:after="0" w:afterAutospacing="0" w:line="576"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立足长垣起重装备优势产业和发展基础，把握新一代信息技术与先进制造技术融合发展新趋势，围绕打造千亿级产业集群目标，以实施创新驱动和开放带动战略为统领，以智能化、特种化、轻量化、高端化为方向，以构建新型制造体系为主线，以平台建设和重大项目为支撑，坚持“双转型”（传统起重向高端桥门式起重转型、通用起重向特种装备转型），推进“双同步”（传统产业智能化改造、新兴智能装备产业培育同步发力），做好“双拓展”（起重装备产业链向前端与后端拓展），示范引领、点面结合、系统推进，着力推动产业链条向微笑曲线两端延伸，着力打造起重装备“龙形产业”集群，构建一流产业生态，努力打造全国重要、具有国际影响力的“一中心两基地”（起重智能制造创新中心、起重智能制造产业基地、智能物流仓储装备产业基地）。</w:t>
      </w:r>
    </w:p>
    <w:p w14:paraId="7232A9BC">
      <w:pPr>
        <w:keepNext/>
        <w:keepLines/>
        <w:pageBreakBefore w:val="0"/>
        <w:widowControl w:val="0"/>
        <w:kinsoku/>
        <w:wordWrap/>
        <w:overflowPunct/>
        <w:topLinePunct w:val="0"/>
        <w:bidi w:val="0"/>
        <w:spacing w:before="0" w:beforeLines="0" w:beforeAutospacing="0" w:after="0" w:afterLines="0" w:afterAutospacing="0" w:line="576" w:lineRule="exact"/>
        <w:ind w:firstLine="640" w:firstLineChars="200"/>
        <w:jc w:val="both"/>
        <w:textAlignment w:val="auto"/>
        <w:outlineLvl w:val="1"/>
        <w:rPr>
          <w:rFonts w:ascii="Arial" w:hAnsi="Arial" w:eastAsia="黑体" w:cs="Times New Roman"/>
          <w:kern w:val="2"/>
          <w:sz w:val="32"/>
          <w:szCs w:val="24"/>
          <w:lang w:val="en-US" w:eastAsia="zh-CN" w:bidi="ar-SA"/>
        </w:rPr>
      </w:pPr>
      <w:r>
        <w:rPr>
          <w:rFonts w:hint="eastAsia" w:ascii="Arial" w:hAnsi="Arial" w:eastAsia="黑体" w:cs="Times New Roman"/>
          <w:kern w:val="2"/>
          <w:sz w:val="32"/>
          <w:szCs w:val="24"/>
          <w:lang w:val="en-US" w:eastAsia="zh-CN" w:bidi="ar-SA"/>
        </w:rPr>
        <w:t>二、申报要求</w:t>
      </w:r>
    </w:p>
    <w:p w14:paraId="3492D71A">
      <w:pPr>
        <w:pageBreakBefore w:val="0"/>
        <w:widowControl w:val="0"/>
        <w:kinsoku/>
        <w:wordWrap/>
        <w:overflowPunct/>
        <w:topLinePunct w:val="0"/>
        <w:bidi w:val="0"/>
        <w:adjustRightInd w:val="0"/>
        <w:snapToGrid w:val="0"/>
        <w:spacing w:beforeAutospacing="0" w:after="0" w:line="576"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（一）申报项目应围绕国家、省起重装备制造产业发展需求，聚焦产业发展，符合产业发展规划。</w:t>
      </w:r>
    </w:p>
    <w:p w14:paraId="7E4DD9A9">
      <w:pPr>
        <w:pageBreakBefore w:val="0"/>
        <w:widowControl/>
        <w:shd w:val="clear" w:color="auto" w:fill="FFFFFF"/>
        <w:kinsoku/>
        <w:wordWrap/>
        <w:overflowPunct/>
        <w:topLinePunct w:val="0"/>
        <w:bidi w:val="0"/>
        <w:adjustRightInd/>
        <w:snapToGrid/>
        <w:spacing w:before="0" w:beforeAutospacing="0" w:after="0" w:afterAutospacing="0" w:line="576" w:lineRule="exact"/>
        <w:ind w:firstLine="640" w:firstLineChars="200"/>
        <w:jc w:val="left"/>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 xml:space="preserve">（二）项目申请单位应为在我市注册的具有独立法人资格的起重装备制造企业，有较强的科技研发能力和良好的研发条件，运行管理规范。  </w:t>
      </w:r>
    </w:p>
    <w:p w14:paraId="026BB7B3">
      <w:pPr>
        <w:pageBreakBefore w:val="0"/>
        <w:widowControl w:val="0"/>
        <w:kinsoku/>
        <w:wordWrap/>
        <w:overflowPunct/>
        <w:topLinePunct w:val="0"/>
        <w:bidi w:val="0"/>
        <w:adjustRightInd w:val="0"/>
        <w:snapToGrid w:val="0"/>
        <w:spacing w:after="0" w:line="576"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（三）申报项目前期已取得阶段性成果且已进入中试阶段，有望实现产业化。</w:t>
      </w:r>
    </w:p>
    <w:p w14:paraId="637F970C">
      <w:pPr>
        <w:pageBreakBefore w:val="0"/>
        <w:widowControl w:val="0"/>
        <w:kinsoku/>
        <w:wordWrap/>
        <w:overflowPunct/>
        <w:topLinePunct w:val="0"/>
        <w:bidi w:val="0"/>
        <w:adjustRightInd w:val="0"/>
        <w:snapToGrid w:val="0"/>
        <w:spacing w:after="0" w:line="576"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（四）申报单位为企业的上年度研发投入占主营业务收入比例不低于3%，同时应有良好的信用记录，未被记入“信用中国（河南）”黑名单。</w:t>
      </w:r>
    </w:p>
    <w:p w14:paraId="0D3E25E3">
      <w:pPr>
        <w:pageBreakBefore w:val="0"/>
        <w:widowControl w:val="0"/>
        <w:kinsoku/>
        <w:wordWrap/>
        <w:overflowPunct/>
        <w:topLinePunct w:val="0"/>
        <w:bidi w:val="0"/>
        <w:adjustRightInd w:val="0"/>
        <w:snapToGrid w:val="0"/>
        <w:spacing w:after="0" w:afterAutospacing="0" w:line="576"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（五）项目实施周期原则上不超过3年，单个项目财政支持资金原则上为</w:t>
      </w:r>
      <w:r>
        <w:rPr>
          <w:rFonts w:hint="eastAsia" w:ascii="仿宋_GB2312" w:hAnsi="仿宋_GB2312" w:eastAsia="仿宋_GB2312" w:cs="仿宋_GB2312"/>
          <w:sz w:val="32"/>
          <w:szCs w:val="32"/>
          <w:lang w:val="en-US" w:eastAsia="zh-CN"/>
        </w:rPr>
        <w:t>100-300</w:t>
      </w:r>
      <w:r>
        <w:rPr>
          <w:rFonts w:hint="eastAsia" w:ascii="仿宋_GB2312" w:hAnsi="仿宋_GB2312" w:eastAsia="仿宋_GB2312" w:cs="仿宋_GB2312"/>
          <w:kern w:val="2"/>
          <w:sz w:val="32"/>
          <w:szCs w:val="32"/>
        </w:rPr>
        <w:t>万元。其中，项目申请单位投入项目研发的自筹资金不低于申请财政资金的3倍。同一项目不得以任何形式多头申报。</w:t>
      </w:r>
    </w:p>
    <w:p w14:paraId="4D63B310">
      <w:pPr>
        <w:keepNext/>
        <w:keepLines/>
        <w:pageBreakBefore w:val="0"/>
        <w:widowControl w:val="0"/>
        <w:kinsoku/>
        <w:wordWrap/>
        <w:overflowPunct/>
        <w:topLinePunct w:val="0"/>
        <w:bidi w:val="0"/>
        <w:spacing w:before="0" w:beforeLines="0" w:beforeAutospacing="0" w:after="0" w:afterLines="0" w:afterAutospacing="0" w:line="576" w:lineRule="exact"/>
        <w:ind w:firstLine="640" w:firstLineChars="200"/>
        <w:jc w:val="both"/>
        <w:textAlignment w:val="auto"/>
        <w:outlineLvl w:val="1"/>
        <w:rPr>
          <w:rFonts w:ascii="Arial" w:hAnsi="Arial" w:eastAsia="黑体" w:cs="Times New Roman"/>
          <w:kern w:val="2"/>
          <w:sz w:val="32"/>
          <w:szCs w:val="24"/>
          <w:lang w:val="en-US" w:eastAsia="zh-CN" w:bidi="ar-SA"/>
        </w:rPr>
      </w:pPr>
      <w:r>
        <w:rPr>
          <w:rFonts w:hint="eastAsia" w:ascii="Arial" w:hAnsi="Arial" w:eastAsia="黑体" w:cs="Times New Roman"/>
          <w:kern w:val="2"/>
          <w:sz w:val="32"/>
          <w:szCs w:val="24"/>
          <w:lang w:val="en-US" w:eastAsia="zh-CN" w:bidi="ar-SA"/>
        </w:rPr>
        <w:t>三、支持领域</w:t>
      </w:r>
    </w:p>
    <w:p w14:paraId="5252FD22">
      <w:pPr>
        <w:pageBreakBefore w:val="0"/>
        <w:widowControl w:val="0"/>
        <w:kinsoku/>
        <w:wordWrap/>
        <w:overflowPunct/>
        <w:topLinePunct w:val="0"/>
        <w:bidi w:val="0"/>
        <w:adjustRightInd/>
        <w:snapToGrid/>
        <w:spacing w:beforeAutospacing="0" w:after="0" w:line="576"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1、大力发展高端和特种起重机产品</w:t>
      </w:r>
    </w:p>
    <w:p w14:paraId="5B1393F9">
      <w:pPr>
        <w:pageBreakBefore w:val="0"/>
        <w:widowControl w:val="0"/>
        <w:kinsoku/>
        <w:wordWrap/>
        <w:overflowPunct/>
        <w:topLinePunct w:val="0"/>
        <w:bidi w:val="0"/>
        <w:adjustRightInd/>
        <w:snapToGrid/>
        <w:spacing w:after="0" w:line="576"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2、着力补齐起重配件等产业链短板</w:t>
      </w:r>
    </w:p>
    <w:p w14:paraId="4BC5C4BA">
      <w:pPr>
        <w:pageBreakBefore w:val="0"/>
        <w:widowControl w:val="0"/>
        <w:kinsoku/>
        <w:wordWrap/>
        <w:overflowPunct/>
        <w:topLinePunct w:val="0"/>
        <w:bidi w:val="0"/>
        <w:adjustRightInd/>
        <w:snapToGrid/>
        <w:spacing w:after="0" w:line="576" w:lineRule="exact"/>
        <w:ind w:firstLine="640" w:firstLineChars="200"/>
        <w:jc w:val="both"/>
        <w:textAlignment w:val="auto"/>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rPr>
        <w:t>3、加快发展智能物流仓储智能装备及产业类延展产品</w:t>
      </w:r>
    </w:p>
    <w:p w14:paraId="7AABAD1E">
      <w:pPr>
        <w:pageBreakBefore w:val="0"/>
        <w:widowControl w:val="0"/>
        <w:kinsoku/>
        <w:wordWrap/>
        <w:overflowPunct/>
        <w:topLinePunct w:val="0"/>
        <w:bidi w:val="0"/>
        <w:adjustRightInd/>
        <w:snapToGrid/>
        <w:spacing w:after="0" w:line="576"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4、利用新一代信息技术向数字化、信息化发展，通过整合各产业资源促进起重装备产业向智能化、高端化转型。</w:t>
      </w:r>
    </w:p>
    <w:p w14:paraId="79279C2D">
      <w:pPr>
        <w:pageBreakBefore w:val="0"/>
        <w:widowControl w:val="0"/>
        <w:kinsoku/>
        <w:wordWrap/>
        <w:overflowPunct/>
        <w:topLinePunct w:val="0"/>
        <w:bidi w:val="0"/>
        <w:adjustRightInd/>
        <w:snapToGrid/>
        <w:spacing w:after="0" w:line="576" w:lineRule="exact"/>
        <w:ind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5、积极发展绿色制造和再制造</w:t>
      </w:r>
    </w:p>
    <w:p w14:paraId="38295E77">
      <w:pPr>
        <w:pageBreakBefore w:val="0"/>
        <w:widowControl w:val="0"/>
        <w:kinsoku/>
        <w:wordWrap/>
        <w:overflowPunct/>
        <w:topLinePunct w:val="0"/>
        <w:autoSpaceDE w:val="0"/>
        <w:autoSpaceDN w:val="0"/>
        <w:bidi w:val="0"/>
        <w:adjustRightInd w:val="0"/>
        <w:snapToGrid/>
        <w:spacing w:after="0" w:line="576"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6、布局前沿向机器人领域拓展</w:t>
      </w:r>
    </w:p>
    <w:p w14:paraId="5A2D8C61">
      <w:pPr>
        <w:ind w:left="0" w:leftChars="0" w:firstLine="0" w:firstLineChars="0"/>
      </w:pPr>
    </w:p>
    <w:sectPr>
      <w:pgSz w:w="11906" w:h="16838"/>
      <w:pgMar w:top="2154" w:right="1417"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9F21EA"/>
    <w:rsid w:val="00342776"/>
    <w:rsid w:val="037652A7"/>
    <w:rsid w:val="03BA492B"/>
    <w:rsid w:val="15257FCC"/>
    <w:rsid w:val="20D81D57"/>
    <w:rsid w:val="211803A6"/>
    <w:rsid w:val="34607015"/>
    <w:rsid w:val="437C06CE"/>
    <w:rsid w:val="619A05C2"/>
    <w:rsid w:val="749F21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黑体"/>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exact"/>
      <w:ind w:firstLine="0" w:firstLineChars="0"/>
      <w:jc w:val="center"/>
      <w:outlineLvl w:val="0"/>
    </w:pPr>
    <w:rPr>
      <w:rFonts w:eastAsia="方正小标宋简体"/>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576" w:lineRule="exact"/>
      <w:ind w:firstLine="420" w:firstLineChars="200"/>
      <w:outlineLvl w:val="1"/>
    </w:pPr>
    <w:rPr>
      <w:rFonts w:ascii="Arial" w:hAnsi="Arial" w:eastAsia="黑体"/>
    </w:rPr>
  </w:style>
  <w:style w:type="paragraph" w:styleId="4">
    <w:name w:val="heading 3"/>
    <w:basedOn w:val="1"/>
    <w:next w:val="1"/>
    <w:semiHidden/>
    <w:unhideWhenUsed/>
    <w:qFormat/>
    <w:uiPriority w:val="0"/>
    <w:pPr>
      <w:keepNext/>
      <w:keepLines/>
      <w:spacing w:before="260" w:beforeLines="0" w:beforeAutospacing="0" w:after="260" w:afterLines="0" w:afterAutospacing="0" w:line="576" w:lineRule="exact"/>
      <w:ind w:firstLine="420" w:firstLineChars="200"/>
      <w:outlineLvl w:val="2"/>
    </w:pPr>
    <w:rPr>
      <w:rFonts w:eastAsia="楷体_GB231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802</Words>
  <Characters>809</Characters>
  <Lines>0</Lines>
  <Paragraphs>0</Paragraphs>
  <TotalTime>0</TotalTime>
  <ScaleCrop>false</ScaleCrop>
  <LinksUpToDate>false</LinksUpToDate>
  <CharactersWithSpaces>811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2025-04-24T08:16:00Z</dcterms:created>
  <dc:creator>EL.</dc:creator>
  <cp:lastModifiedBy>EL.</cp:lastModifiedBy>
  <dcterms:modified xsi:type="dcterms:W3CDTF">2025-04-24T08:29:28Z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69930FF047D84FB4A2B9199554C95178_11</vt:lpwstr>
  </property>
  <property fmtid="{D5CDD505-2E9C-101B-9397-08002B2CF9AE}" pid="4" name="KSOTemplateDocerSaveRecord">
    <vt:lpwstr>eyJoZGlkIjoiNTVkZGM4OWRlYzJmOTI0Y2M0ODg2Y2Y1NDI0MmViODQiLCJ1c2VySWQiOiI4MTc1ODExNDMifQ==</vt:lpwstr>
  </property>
</Properties>
</file>